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6"/>
        </w:rPr>
      </w:pPr>
      <w:r>
        <w:rPr>
          <w:sz w:val="36"/>
        </w:rPr>
        <w:t>План работы</w:t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Центра образования  цифрового и гуманитарного профилей</w:t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«Точка роста»</w:t>
      </w:r>
    </w:p>
    <w:p>
      <w:pPr>
        <w:pStyle w:val="Normal"/>
        <w:jc w:val="center"/>
        <w:rPr>
          <w:sz w:val="36"/>
        </w:rPr>
      </w:pPr>
      <w:r>
        <w:rPr>
          <w:sz w:val="36"/>
        </w:rPr>
        <w:t>на 202</w:t>
      </w:r>
      <w:r>
        <w:rPr>
          <w:sz w:val="36"/>
        </w:rPr>
        <w:t>5</w:t>
      </w:r>
      <w:r>
        <w:rPr>
          <w:sz w:val="36"/>
        </w:rPr>
        <w:t>/202</w:t>
      </w:r>
      <w:r>
        <w:rPr>
          <w:sz w:val="36"/>
        </w:rPr>
        <w:t>6</w:t>
      </w:r>
      <w:r>
        <w:rPr>
          <w:sz w:val="36"/>
        </w:rPr>
        <w:t xml:space="preserve"> уч. год</w:t>
      </w:r>
    </w:p>
    <w:tbl>
      <w:tblPr>
        <w:tblStyle w:val="Style_1"/>
        <w:tblW w:w="9657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367"/>
        <w:gridCol w:w="2190"/>
        <w:gridCol w:w="2290"/>
        <w:gridCol w:w="1994"/>
      </w:tblGrid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 xml:space="preserve">№ </w:t>
            </w:r>
            <w:r>
              <w:rPr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Название мероприятия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Категория участников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Сроки проведения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Ответственный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центра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Август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Реализация общеобразовательных программ по предметам «Технология», «Информатика», «ОБЖ»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Сотрудники центра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Реализация курсов внеурочной деятельности и дополнительного образования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Сотрудники центра, педагоги предметники, педагоги дополнительного образования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Проектная деятельность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предметники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предметники</w:t>
            </w:r>
          </w:p>
        </w:tc>
      </w:tr>
      <w:tr>
        <w:trPr/>
        <w:tc>
          <w:tcPr>
            <w:tcW w:w="965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Внеурочные мероприятия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Экскурсия в центр «Точка Роста»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сентябрь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центра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Шахматный турнир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5-6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октябрь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Молочникова Н.А.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Инфо- встреча «Как защитить себя от кибератак»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5-11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октябрь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Куликова А.С.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Звезды сквозь VR очки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11 класс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ноябрь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Куликова А.С.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Инфо- встреча «Безопасность в интернете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1-4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декабрь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Куликова А.С.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left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Создание интерактивных новогодних открыток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5-6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декабрь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Гребенюк Г.Н.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Мастер-класс «Подарок для мамы»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5-6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март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Гребенюк Г.Н.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Шахматный турнир "Быстрые шахматы"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1-4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апрель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Молочникова Н.А.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Интерактивная экскурсия по городам героям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7-11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май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Сосипатрова Н.С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Уроки цифры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1-11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Учителя предметники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Уроки финансовой грамотности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1-11 классы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Учителя предметники</w:t>
            </w:r>
          </w:p>
        </w:tc>
      </w:tr>
      <w:tr>
        <w:trPr/>
        <w:tc>
          <w:tcPr>
            <w:tcW w:w="9657" w:type="dxa"/>
            <w:gridSpan w:val="5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Социокультурные мероприятия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Родительские собрания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родители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сентябрь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Директор школы, Руководитель центра «Точка Роста»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Проведение мастерклассов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Обучающиеся, , педагоги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центра</w:t>
            </w:r>
          </w:p>
        </w:tc>
      </w:tr>
      <w:tr>
        <w:trPr/>
        <w:tc>
          <w:tcPr>
            <w:tcW w:w="81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23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Экскурссия центра «Точка роста»</w:t>
            </w:r>
          </w:p>
        </w:tc>
        <w:tc>
          <w:tcPr>
            <w:tcW w:w="21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обучающиеся</w:t>
            </w:r>
          </w:p>
        </w:tc>
        <w:tc>
          <w:tcPr>
            <w:tcW w:w="229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В течение года</w:t>
            </w:r>
          </w:p>
        </w:tc>
        <w:tc>
          <w:tcPr>
            <w:tcW w:w="199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Calibri" w:hAnsi="Calibri"/>
                <w:color w:val="000000"/>
                <w:spacing w:val="0"/>
                <w:kern w:val="0"/>
                <w:sz w:val="22"/>
                <w:szCs w:val="20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педагоги центра</w:t>
            </w:r>
          </w:p>
        </w:tc>
      </w:tr>
    </w:tbl>
    <w:p>
      <w:pPr>
        <w:pStyle w:val="Normal"/>
        <w:spacing w:before="0" w:after="200"/>
        <w:rPr>
          <w:sz w:val="36"/>
        </w:rPr>
      </w:pPr>
      <w:r>
        <w:rPr>
          <w:sz w:val="3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Micro Hei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WenQuanYi Micro Hei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WenQuanYi Micro Hei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WenQuanYi Micro Hei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WenQuanYi Micro Hei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200"/>
      <w:ind w:hanging="0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both"/>
    </w:pPr>
    <w:rPr>
      <w:rFonts w:ascii="XO Thames" w:hAnsi="XO Thames" w:eastAsia="WenQuanYi Micro Hei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WenQuanYi Micro Hei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23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2</Pages>
  <Words>212</Words>
  <Characters>1478</Characters>
  <CharactersWithSpaces>1610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2025-10-28T09:42:57Z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